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2B" w:rsidRPr="00932B2B" w:rsidRDefault="00932B2B" w:rsidP="00932B2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Badania kału – czym są?</w:t>
      </w:r>
      <w:r w:rsidRPr="00932B2B"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t>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Cs/>
          <w:sz w:val="28"/>
          <w:szCs w:val="28"/>
          <w:lang w:eastAsia="pl-PL"/>
        </w:rPr>
        <w:t>Badanie kału jest tanim, nieinwazyjnym badaniem pozwalającym wykryć wiele niebezpiecznych chorób na ich wczesnych etapach rozwoju</w:t>
      </w:r>
      <w:r w:rsidRPr="00932B2B">
        <w:rPr>
          <w:rFonts w:eastAsia="Times New Roman" w:cstheme="minorHAnsi"/>
          <w:sz w:val="28"/>
          <w:szCs w:val="28"/>
          <w:lang w:eastAsia="pl-PL"/>
        </w:rPr>
        <w:t>. Warto więc wykonywać je nawet przy braku jakichkolwiek dolegliwości. Jest to też badanie wskazane m.in. w diagnostyce następujących dolegliwości: </w:t>
      </w:r>
    </w:p>
    <w:p w:rsidR="00932B2B" w:rsidRPr="00932B2B" w:rsidRDefault="00932B2B" w:rsidP="00932B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przedłużające się </w:t>
      </w:r>
      <w:hyperlink r:id="rId6" w:history="1">
        <w:r w:rsidRPr="00932B2B">
          <w:rPr>
            <w:rFonts w:eastAsia="Times New Roman" w:cstheme="minorHAnsi"/>
            <w:sz w:val="28"/>
            <w:szCs w:val="28"/>
            <w:lang w:eastAsia="pl-PL"/>
          </w:rPr>
          <w:t>biegunki</w:t>
        </w:r>
      </w:hyperlink>
      <w:r w:rsidRPr="00932B2B">
        <w:rPr>
          <w:rFonts w:eastAsia="Times New Roman" w:cstheme="minorHAnsi"/>
          <w:sz w:val="28"/>
          <w:szCs w:val="28"/>
          <w:lang w:eastAsia="pl-PL"/>
        </w:rPr>
        <w:t>, </w:t>
      </w:r>
    </w:p>
    <w:p w:rsidR="00932B2B" w:rsidRPr="00932B2B" w:rsidRDefault="00932B2B" w:rsidP="00932B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podejrzenie zakażenia pasożytniczego układu pokarmowego, </w:t>
      </w:r>
    </w:p>
    <w:p w:rsidR="00932B2B" w:rsidRPr="00932B2B" w:rsidRDefault="00932B2B" w:rsidP="00932B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zaburzenia wchłaniania, </w:t>
      </w:r>
    </w:p>
    <w:p w:rsidR="00932B2B" w:rsidRDefault="00932B2B" w:rsidP="00932B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choroby rozrostowe jelita grubego.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Prawidłowe pobranie próbki do badania z kału</w:t>
      </w:r>
      <w:r w:rsidRPr="00932B2B"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t>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Aby prawidłowo pobrać kał do badania laboratoryjnego, należy przede wszystkim zaopatrzyć się w </w:t>
      </w:r>
      <w:hyperlink r:id="rId7" w:history="1">
        <w:r w:rsidRPr="00932B2B">
          <w:rPr>
            <w:rFonts w:eastAsia="Times New Roman" w:cstheme="minorHAnsi"/>
            <w:b/>
            <w:bCs/>
            <w:sz w:val="28"/>
            <w:szCs w:val="28"/>
            <w:u w:val="single"/>
            <w:lang w:eastAsia="pl-PL"/>
          </w:rPr>
          <w:t>jałowy pojemnik wyposażony w łopatkę</w:t>
        </w:r>
      </w:hyperlink>
      <w:r w:rsidRPr="00932B2B">
        <w:rPr>
          <w:rFonts w:eastAsia="Times New Roman" w:cstheme="minorHAnsi"/>
          <w:sz w:val="28"/>
          <w:szCs w:val="28"/>
          <w:lang w:eastAsia="pl-PL"/>
        </w:rPr>
        <w:t>. Pojemniki tego typu dostępne są w aptekach.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Oto kilka rad, które mogą ułatwić proces pobierania kału do badania: </w:t>
      </w:r>
    </w:p>
    <w:p w:rsidR="00932B2B" w:rsidRPr="00932B2B" w:rsidRDefault="00932B2B" w:rsidP="00932B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Przed pobraniem stolca warto oddać mocz – zmniejszy to ryzyko skażenia materiału do badania moczem. </w:t>
      </w:r>
    </w:p>
    <w:p w:rsidR="00932B2B" w:rsidRPr="00932B2B" w:rsidRDefault="00932B2B" w:rsidP="00932B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Podczas obchodzenia się ze stolcem warto korzystać z </w:t>
      </w:r>
      <w:hyperlink r:id="rId8" w:history="1">
        <w:r w:rsidRPr="00932B2B">
          <w:rPr>
            <w:rFonts w:eastAsia="Times New Roman" w:cstheme="minorHAnsi"/>
            <w:sz w:val="28"/>
            <w:szCs w:val="28"/>
            <w:lang w:eastAsia="pl-PL"/>
          </w:rPr>
          <w:t>rękawiczek jednorazowych</w:t>
        </w:r>
      </w:hyperlink>
      <w:r w:rsidRPr="00932B2B">
        <w:rPr>
          <w:rFonts w:eastAsia="Times New Roman" w:cstheme="minorHAnsi"/>
          <w:sz w:val="28"/>
          <w:szCs w:val="28"/>
          <w:lang w:eastAsia="pl-PL"/>
        </w:rPr>
        <w:t>. </w:t>
      </w:r>
    </w:p>
    <w:p w:rsidR="00932B2B" w:rsidRPr="00932B2B" w:rsidRDefault="00932B2B" w:rsidP="00932B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Nie należy mieszać </w:t>
      </w:r>
      <w:hyperlink r:id="rId9" w:history="1">
        <w:r w:rsidRPr="00932B2B">
          <w:rPr>
            <w:rFonts w:eastAsia="Times New Roman" w:cstheme="minorHAnsi"/>
            <w:sz w:val="28"/>
            <w:szCs w:val="28"/>
            <w:u w:val="single"/>
            <w:lang w:eastAsia="pl-PL"/>
          </w:rPr>
          <w:t>mydła</w:t>
        </w:r>
      </w:hyperlink>
      <w:r w:rsidRPr="00932B2B">
        <w:rPr>
          <w:rFonts w:eastAsia="Times New Roman" w:cstheme="minorHAnsi"/>
          <w:sz w:val="28"/>
          <w:szCs w:val="28"/>
          <w:lang w:eastAsia="pl-PL"/>
        </w:rPr>
        <w:t>, papieru toaletowego czy wody ze stolcem. </w:t>
      </w:r>
    </w:p>
    <w:p w:rsidR="00932B2B" w:rsidRPr="00932B2B" w:rsidRDefault="00932B2B" w:rsidP="00932B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Nie należy pobierać stolca bezpośrednio z muszli toalety.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Aby pobrać próbkę kału, w toalecie należy umieścić coś, w co pacjent pobierze stolec – </w:t>
      </w:r>
      <w:r w:rsidRPr="00932B2B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nie powinien być on bowiem zanieczyszczony moczem ani wodą</w:t>
      </w:r>
      <w:r w:rsidRPr="00932B2B">
        <w:rPr>
          <w:rFonts w:eastAsia="Times New Roman" w:cstheme="minorHAnsi"/>
          <w:sz w:val="28"/>
          <w:szCs w:val="28"/>
          <w:u w:val="single"/>
          <w:lang w:eastAsia="pl-PL"/>
        </w:rPr>
        <w:t>.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 Może to być np. dziecięcy nocnik (uprzednio poddany dokładnej dezynfekcji), czy odpowiednio rozłożony woreczek strunowy. W aptekach dostępne są także specjalne maty nakładane na toaletę, które ułatwiają pobranie materiału do badania.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Należy upewnić się, że stolec nie będzie miał kontaktu z wnętrzem toalety</w:t>
      </w:r>
      <w:r w:rsidRPr="00932B2B">
        <w:rPr>
          <w:rFonts w:eastAsia="Times New Roman" w:cstheme="minorHAnsi"/>
          <w:b/>
          <w:sz w:val="28"/>
          <w:szCs w:val="28"/>
          <w:lang w:eastAsia="pl-PL"/>
        </w:rPr>
        <w:t>.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Do pobrania kału pacjent powinien użyć przeznaczonej do tego szpatułki, dołączonej do zakupionego w aptece pojemnika. Objętość stolca wymagana do badania porównywana jest do </w:t>
      </w:r>
      <w:r w:rsidRPr="00932B2B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dużego orzecha laskowego</w:t>
      </w:r>
      <w:r w:rsidRPr="00932B2B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lub około 1/3 pojemności pojemniczka.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lastRenderedPageBreak/>
        <w:t xml:space="preserve">Po pobraniu stolca pojemnik należy dokładnie zakręcić, a wszystkie inne elementy używane przy pobieraniu, tak jak wspomniany woreczek foliowy, powinno się wyrzucić do śmietnika.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Pacjent musi pamiętać o dokładnym umyciu rąk wodą z mydłem, a następnie dezynfekcji</w:t>
      </w:r>
      <w:r w:rsidRPr="00932B2B">
        <w:rPr>
          <w:rFonts w:eastAsia="Times New Roman" w:cstheme="minorHAnsi"/>
          <w:sz w:val="28"/>
          <w:szCs w:val="28"/>
          <w:lang w:eastAsia="pl-PL"/>
        </w:rPr>
        <w:t>.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Cs/>
          <w:sz w:val="28"/>
          <w:szCs w:val="28"/>
          <w:lang w:eastAsia="pl-PL"/>
        </w:rPr>
        <w:t>Kał należy dostarczyć do laboratorium w przeciągu 2 godzin od pobrania</w:t>
      </w:r>
      <w:r w:rsidRPr="00932B2B">
        <w:rPr>
          <w:rFonts w:eastAsia="Times New Roman" w:cstheme="minorHAnsi"/>
          <w:sz w:val="28"/>
          <w:szCs w:val="28"/>
          <w:lang w:eastAsia="pl-PL"/>
        </w:rPr>
        <w:t>. W przypadku gdy nie jest to możliwe, konieczne będzie przechowywanie pobranego materiału w lodówce.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Jak się przygotować do badania kału?</w:t>
      </w:r>
      <w:r w:rsidRPr="00932B2B"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t>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Pacjenci często podejmują drastyczne modyfikacje diety, co jest błędem. Przed badaniem kału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nie powinno się podejmować żadnych istotnych zmian w diecie –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 niekorzystna będzie zarówno tzw. głodówka, jak i znaczny wzrost ilości przyjmowanego pokarmu. </w:t>
      </w:r>
      <w:r w:rsidRPr="00932B2B">
        <w:rPr>
          <w:rFonts w:eastAsia="Times New Roman" w:cstheme="minorHAnsi"/>
          <w:bCs/>
          <w:sz w:val="28"/>
          <w:szCs w:val="28"/>
          <w:lang w:eastAsia="pl-PL"/>
        </w:rPr>
        <w:t xml:space="preserve">Warto natomiast zadbać o dostarczenie odpowiedniej ilości </w:t>
      </w:r>
      <w:hyperlink r:id="rId10" w:history="1">
        <w:r w:rsidRPr="00932B2B">
          <w:rPr>
            <w:rFonts w:eastAsia="Times New Roman" w:cstheme="minorHAnsi"/>
            <w:bCs/>
            <w:sz w:val="28"/>
            <w:szCs w:val="28"/>
            <w:lang w:eastAsia="pl-PL"/>
          </w:rPr>
          <w:t>błonnika</w:t>
        </w:r>
      </w:hyperlink>
      <w:r>
        <w:rPr>
          <w:rFonts w:eastAsia="Times New Roman" w:cstheme="minorHAnsi"/>
          <w:bCs/>
          <w:sz w:val="28"/>
          <w:szCs w:val="28"/>
          <w:lang w:eastAsia="pl-PL"/>
        </w:rPr>
        <w:t>.</w:t>
      </w:r>
      <w:r w:rsidRPr="00932B2B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932B2B">
        <w:rPr>
          <w:rFonts w:eastAsia="Times New Roman" w:cstheme="minorHAnsi"/>
          <w:sz w:val="28"/>
          <w:szCs w:val="28"/>
          <w:lang w:eastAsia="pl-PL"/>
        </w:rPr>
        <w:t>tak, by wypróżnienia przebiegały bez zakłóceń i pacjent nie miał problemu z pobraniem materiału do badania.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Badanie ogólne kału jest jednym z najczęściej wykonywanych badań na tym materiale. Jest prostym, stosunkowo tanim badaniem, które ma ogromną wartość diagnostyczną.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Podczas </w:t>
      </w:r>
      <w:hyperlink r:id="rId11" w:history="1">
        <w:r w:rsidRPr="00932B2B">
          <w:rPr>
            <w:rFonts w:eastAsia="Times New Roman" w:cstheme="minorHAnsi"/>
            <w:sz w:val="28"/>
            <w:szCs w:val="28"/>
            <w:lang w:eastAsia="pl-PL"/>
          </w:rPr>
          <w:t>badania</w:t>
        </w:r>
      </w:hyperlink>
      <w:r w:rsidRPr="00932B2B">
        <w:rPr>
          <w:rFonts w:eastAsia="Times New Roman" w:cstheme="minorHAnsi"/>
          <w:sz w:val="28"/>
          <w:szCs w:val="28"/>
          <w:lang w:eastAsia="pl-PL"/>
        </w:rPr>
        <w:t xml:space="preserve"> ogólnego kał poddaje się zarówno ocenie makro- jak i mikroskopowej. Ocena makroskopowa polega na obserwacji: </w:t>
      </w:r>
    </w:p>
    <w:p w:rsidR="00932B2B" w:rsidRPr="00932B2B" w:rsidRDefault="00932B2B" w:rsidP="00F4546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konsystencji stolca, </w:t>
      </w:r>
    </w:p>
    <w:p w:rsidR="00932B2B" w:rsidRPr="00932B2B" w:rsidRDefault="00932B2B" w:rsidP="00F4546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zapachu, </w:t>
      </w:r>
    </w:p>
    <w:p w:rsidR="00932B2B" w:rsidRPr="00932B2B" w:rsidRDefault="00932B2B" w:rsidP="00F4546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zabarwienia, </w:t>
      </w:r>
    </w:p>
    <w:p w:rsidR="00932B2B" w:rsidRPr="00932B2B" w:rsidRDefault="00932B2B" w:rsidP="00F4546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obecności widocznych makroskopowo ropy, krwi lub śluzu.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Następnie dokonywana jest diagnostyka mikroskopowa. Z materiału wykonywane są preparaty, które diagnosta ocenia pod kątem obecności: </w:t>
      </w:r>
    </w:p>
    <w:p w:rsidR="00932B2B" w:rsidRPr="00932B2B" w:rsidRDefault="00932B2B" w:rsidP="00932B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jaj, cyst i dorosłych form pasożytów, </w:t>
      </w:r>
    </w:p>
    <w:p w:rsidR="00932B2B" w:rsidRPr="00932B2B" w:rsidRDefault="00932B2B" w:rsidP="00932B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niestrawionych resztek pokarmowych takich jak ziarna skrobi, kulki tłuszczu czy włókna mięśniowe, </w:t>
      </w:r>
    </w:p>
    <w:p w:rsidR="00932B2B" w:rsidRPr="00932B2B" w:rsidRDefault="00932B2B" w:rsidP="00932B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erytrocytów, </w:t>
      </w:r>
    </w:p>
    <w:p w:rsidR="00932B2B" w:rsidRPr="00932B2B" w:rsidRDefault="00932B2B" w:rsidP="00932B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komórek nabłonka, </w:t>
      </w:r>
    </w:p>
    <w:p w:rsidR="00932B2B" w:rsidRDefault="00932B2B" w:rsidP="00932B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komórek układu odpornościowego.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lastRenderedPageBreak/>
        <w:t>Badanie na obecność krwi utajonej</w:t>
      </w:r>
      <w:r w:rsidRPr="00932B2B">
        <w:rPr>
          <w:rFonts w:eastAsia="Times New Roman" w:cstheme="minorHAnsi"/>
          <w:color w:val="0070C0"/>
          <w:sz w:val="28"/>
          <w:szCs w:val="28"/>
          <w:u w:val="single"/>
          <w:lang w:eastAsia="pl-PL"/>
        </w:rPr>
        <w:t>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>Badanie na obecność krwi utajonej ma na celu wykrycie krwi, która jest w stolcu w tak małych stężeniach, że gołym okiem jest niewidoczna. Taki objaw może być wywoływany przez różne stany i schorzenia: </w:t>
      </w:r>
    </w:p>
    <w:p w:rsidR="00932B2B" w:rsidRPr="00932B2B" w:rsidRDefault="00932B2B" w:rsidP="00932B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polipy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 – polipem nazywa się uwypuklenie błony śluzowej jelita do jego wewnętrznej strony; polip może mieć charakter nowotworowy, ale nie musi; </w:t>
      </w:r>
    </w:p>
    <w:p w:rsidR="00932B2B" w:rsidRPr="00932B2B" w:rsidRDefault="00932B2B" w:rsidP="00932B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uchyłkowatość jelita</w:t>
      </w:r>
      <w:r w:rsidRPr="00932B2B">
        <w:rPr>
          <w:rFonts w:eastAsia="Times New Roman" w:cstheme="minorHAnsi"/>
          <w:color w:val="0070C0"/>
          <w:sz w:val="28"/>
          <w:szCs w:val="28"/>
          <w:lang w:eastAsia="pl-PL"/>
        </w:rPr>
        <w:t xml:space="preserve"> 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– uchyłki jelita grubego to „woreczki” utworzone ze ściany jelita grubego i uwypuklające się do jego zewnętrznej strony. Powstają w wyniku wieloletniego stosowania diety ubogiej w błonnik, tzw. diety </w:t>
      </w:r>
      <w:r w:rsidR="00497133" w:rsidRPr="00932B2B">
        <w:rPr>
          <w:rFonts w:eastAsia="Times New Roman" w:cstheme="minorHAnsi"/>
          <w:sz w:val="28"/>
          <w:szCs w:val="28"/>
          <w:lang w:eastAsia="pl-PL"/>
        </w:rPr>
        <w:t>ubogo resztkowej</w:t>
      </w:r>
      <w:r w:rsidRPr="00932B2B">
        <w:rPr>
          <w:rFonts w:eastAsia="Times New Roman" w:cstheme="minorHAnsi"/>
          <w:sz w:val="28"/>
          <w:szCs w:val="28"/>
          <w:lang w:eastAsia="pl-PL"/>
        </w:rPr>
        <w:t>; </w:t>
      </w:r>
    </w:p>
    <w:p w:rsidR="00932B2B" w:rsidRPr="00932B2B" w:rsidRDefault="00932B2B" w:rsidP="00932B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hemoroidy</w:t>
      </w:r>
      <w:r w:rsidRPr="00932B2B">
        <w:rPr>
          <w:rFonts w:eastAsia="Times New Roman" w:cstheme="minorHAnsi"/>
          <w:sz w:val="28"/>
          <w:szCs w:val="28"/>
          <w:lang w:eastAsia="pl-PL"/>
        </w:rPr>
        <w:t>, inaczej zwane guzkami krwawniczymi; </w:t>
      </w:r>
    </w:p>
    <w:p w:rsidR="00932B2B" w:rsidRPr="00932B2B" w:rsidRDefault="00932B2B" w:rsidP="00932B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wrzody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 – ubytek w ścianie cewy pokarmowej, często wiąże się z dużymi dolegliwościami bólowymi; </w:t>
      </w:r>
    </w:p>
    <w:p w:rsidR="00932B2B" w:rsidRPr="00932B2B" w:rsidRDefault="00932B2B" w:rsidP="00932B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choroby zapalne jelita</w:t>
      </w:r>
      <w:r w:rsidRPr="00932B2B">
        <w:rPr>
          <w:rFonts w:eastAsia="Times New Roman" w:cstheme="minorHAnsi"/>
          <w:color w:val="0070C0"/>
          <w:sz w:val="28"/>
          <w:szCs w:val="28"/>
          <w:lang w:eastAsia="pl-PL"/>
        </w:rPr>
        <w:t xml:space="preserve"> </w:t>
      </w:r>
      <w:r w:rsidRPr="00932B2B">
        <w:rPr>
          <w:rFonts w:eastAsia="Times New Roman" w:cstheme="minorHAnsi"/>
          <w:sz w:val="28"/>
          <w:szCs w:val="28"/>
          <w:lang w:eastAsia="pl-PL"/>
        </w:rPr>
        <w:t>– wrzodziejące zapalenie jelita grubego, choroba Leśniowskiego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32B2B">
        <w:rPr>
          <w:rFonts w:eastAsia="Times New Roman" w:cstheme="minorHAnsi"/>
          <w:sz w:val="28"/>
          <w:szCs w:val="28"/>
          <w:lang w:eastAsia="pl-PL"/>
        </w:rPr>
        <w:t>-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32B2B">
        <w:rPr>
          <w:rFonts w:eastAsia="Times New Roman" w:cstheme="minorHAnsi"/>
          <w:sz w:val="28"/>
          <w:szCs w:val="28"/>
          <w:lang w:eastAsia="pl-PL"/>
        </w:rPr>
        <w:t>Crohna</w:t>
      </w:r>
      <w:proofErr w:type="spellEnd"/>
      <w:r w:rsidRPr="00932B2B">
        <w:rPr>
          <w:rFonts w:eastAsia="Times New Roman" w:cstheme="minorHAnsi"/>
          <w:sz w:val="28"/>
          <w:szCs w:val="28"/>
          <w:lang w:eastAsia="pl-PL"/>
        </w:rPr>
        <w:t>; </w:t>
      </w:r>
    </w:p>
    <w:p w:rsidR="00932B2B" w:rsidRPr="00932B2B" w:rsidRDefault="00932B2B" w:rsidP="00CC35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nowotwory jelita grubego i odbytnicy</w:t>
      </w:r>
      <w:r w:rsidRPr="00932B2B">
        <w:rPr>
          <w:rFonts w:eastAsia="Times New Roman" w:cstheme="minorHAnsi"/>
          <w:color w:val="0070C0"/>
          <w:sz w:val="28"/>
          <w:szCs w:val="28"/>
          <w:lang w:eastAsia="pl-PL"/>
        </w:rPr>
        <w:t>.</w:t>
      </w:r>
    </w:p>
    <w:p w:rsidR="00932B2B" w:rsidRDefault="00CC35A5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C35A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Nowotwór jelita grubego jest</w:t>
      </w:r>
      <w:r w:rsidR="00932B2B" w:rsidRPr="00932B2B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drugim najczęściej zabijającym pacjentów nowotworem</w:t>
      </w:r>
      <w:r w:rsidR="00932B2B" w:rsidRPr="00932B2B">
        <w:rPr>
          <w:rFonts w:eastAsia="Times New Roman" w:cstheme="minorHAnsi"/>
          <w:sz w:val="28"/>
          <w:szCs w:val="28"/>
          <w:lang w:eastAsia="pl-PL"/>
        </w:rPr>
        <w:t>. Badanie w kierunku krwi utajonej ma na celu szybkie wykrycie choroby – na etapie, kiedy leczenie jest najbardziej skuteczne. </w:t>
      </w:r>
    </w:p>
    <w:p w:rsidR="00CC35A5" w:rsidRPr="00932B2B" w:rsidRDefault="00CC35A5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</w:pPr>
      <w:r w:rsidRPr="00932B2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 xml:space="preserve">Jak przygotować się do badania? </w:t>
      </w:r>
      <w:r w:rsidRPr="00932B2B">
        <w:rPr>
          <w:rFonts w:eastAsia="Times New Roman" w:cstheme="minorHAnsi"/>
          <w:color w:val="0070C0"/>
          <w:sz w:val="28"/>
          <w:szCs w:val="28"/>
          <w:u w:val="single"/>
          <w:lang w:eastAsia="pl-PL"/>
        </w:rPr>
        <w:t> </w:t>
      </w:r>
    </w:p>
    <w:p w:rsidR="00932B2B" w:rsidRPr="00932B2B" w:rsidRDefault="00932B2B" w:rsidP="00F454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na 3 dni przed testem nie spożywał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czerwonego mięsa</w:t>
      </w:r>
      <w:r w:rsidRPr="00932B2B">
        <w:rPr>
          <w:rFonts w:eastAsia="Times New Roman" w:cstheme="minorHAnsi"/>
          <w:sz w:val="28"/>
          <w:szCs w:val="28"/>
          <w:lang w:eastAsia="pl-PL"/>
        </w:rPr>
        <w:t>; </w:t>
      </w:r>
    </w:p>
    <w:p w:rsidR="00932B2B" w:rsidRPr="00932B2B" w:rsidRDefault="00932B2B" w:rsidP="00F454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na minimum 3 dni przed badaniem pacjent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nie powinien przyjmować więcej niż 250 mg witaminy C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 – wyższe dawki mogą sprawić, że wyniki pacjenta okażą się być fałszywie ujemne. </w:t>
      </w:r>
    </w:p>
    <w:p w:rsidR="00932B2B" w:rsidRPr="00932B2B" w:rsidRDefault="00497133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Zaleca się również</w:t>
      </w:r>
      <w:r w:rsidR="00932B2B" w:rsidRPr="00932B2B">
        <w:rPr>
          <w:rFonts w:eastAsia="Times New Roman" w:cstheme="minorHAnsi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sz w:val="28"/>
          <w:szCs w:val="28"/>
          <w:lang w:eastAsia="pl-PL"/>
        </w:rPr>
        <w:t>a</w:t>
      </w:r>
      <w:r w:rsidR="00932B2B" w:rsidRPr="00932B2B">
        <w:rPr>
          <w:rFonts w:eastAsia="Times New Roman" w:cstheme="minorHAnsi"/>
          <w:sz w:val="28"/>
          <w:szCs w:val="28"/>
          <w:lang w:eastAsia="pl-PL"/>
        </w:rPr>
        <w:t xml:space="preserve">by pacjenci </w:t>
      </w:r>
      <w:r w:rsidR="00932B2B" w:rsidRPr="00932B2B">
        <w:rPr>
          <w:rFonts w:eastAsia="Times New Roman" w:cstheme="minorHAnsi"/>
          <w:b/>
          <w:bCs/>
          <w:sz w:val="28"/>
          <w:szCs w:val="28"/>
          <w:lang w:eastAsia="pl-PL"/>
        </w:rPr>
        <w:t>unikali przyjmowania niesteroidowych leków przeciwzapalnych</w:t>
      </w:r>
      <w:r w:rsidR="00932B2B" w:rsidRPr="00932B2B">
        <w:rPr>
          <w:rFonts w:eastAsia="Times New Roman" w:cstheme="minorHAnsi"/>
          <w:sz w:val="28"/>
          <w:szCs w:val="28"/>
          <w:lang w:eastAsia="pl-PL"/>
        </w:rPr>
        <w:t xml:space="preserve"> innych niż aspiryna (a ta i tak dopuszczalna jest jedynie w małych dawkach) na 7 dni przed badaniem.  </w:t>
      </w:r>
    </w:p>
    <w:p w:rsidR="00932B2B" w:rsidRPr="00497133" w:rsidRDefault="00932B2B" w:rsidP="00932B2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497133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Kiedy powinnam/</w:t>
      </w:r>
      <w:r w:rsidR="00497133" w:rsidRPr="00497133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powinienem</w:t>
      </w:r>
      <w:r w:rsidRPr="00497133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zacząć się badać?</w:t>
      </w:r>
      <w:r w:rsidRPr="00497133">
        <w:rPr>
          <w:rFonts w:eastAsia="Times New Roman" w:cstheme="minorHAnsi"/>
          <w:color w:val="FF0000"/>
          <w:sz w:val="28"/>
          <w:szCs w:val="28"/>
          <w:lang w:eastAsia="pl-PL"/>
        </w:rPr>
        <w:t>  </w:t>
      </w:r>
    </w:p>
    <w:p w:rsidR="00932B2B" w:rsidRPr="00932B2B" w:rsidRDefault="00932B2B" w:rsidP="00932B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32B2B">
        <w:rPr>
          <w:rFonts w:eastAsia="Times New Roman" w:cstheme="minorHAnsi"/>
          <w:sz w:val="28"/>
          <w:szCs w:val="28"/>
          <w:lang w:eastAsia="pl-PL"/>
        </w:rPr>
        <w:t xml:space="preserve">Wskazane jest, by </w:t>
      </w:r>
      <w:r w:rsidRPr="00932B2B">
        <w:rPr>
          <w:rFonts w:eastAsia="Times New Roman" w:cstheme="minorHAnsi"/>
          <w:b/>
          <w:bCs/>
          <w:sz w:val="28"/>
          <w:szCs w:val="28"/>
          <w:lang w:eastAsia="pl-PL"/>
        </w:rPr>
        <w:t>screening w kierunku raka jelita grubego rozpocząć po przekroczeniu 50. roku życia</w:t>
      </w:r>
      <w:r w:rsidRPr="00932B2B">
        <w:rPr>
          <w:rFonts w:eastAsia="Times New Roman" w:cstheme="minorHAnsi"/>
          <w:sz w:val="28"/>
          <w:szCs w:val="28"/>
          <w:lang w:eastAsia="pl-PL"/>
        </w:rPr>
        <w:t xml:space="preserve">. Obejmuje to więc wykonanie </w:t>
      </w:r>
      <w:r w:rsidR="00497133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497133">
        <w:rPr>
          <w:rFonts w:eastAsia="Times New Roman" w:cstheme="minorHAnsi"/>
          <w:sz w:val="28"/>
          <w:szCs w:val="28"/>
          <w:lang w:eastAsia="pl-PL"/>
        </w:rPr>
        <w:t>kolon</w:t>
      </w:r>
      <w:bookmarkStart w:id="0" w:name="_GoBack"/>
      <w:bookmarkEnd w:id="0"/>
      <w:r w:rsidR="00497133">
        <w:rPr>
          <w:rFonts w:eastAsia="Times New Roman" w:cstheme="minorHAnsi"/>
          <w:sz w:val="28"/>
          <w:szCs w:val="28"/>
          <w:lang w:eastAsia="pl-PL"/>
        </w:rPr>
        <w:t>oskopii</w:t>
      </w:r>
      <w:proofErr w:type="spellEnd"/>
      <w:r w:rsidR="00CC35A5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932B2B">
        <w:rPr>
          <w:rFonts w:eastAsia="Times New Roman" w:cstheme="minorHAnsi"/>
          <w:sz w:val="28"/>
          <w:szCs w:val="28"/>
          <w:lang w:eastAsia="pl-PL"/>
        </w:rPr>
        <w:t>oraz badania kału w kierunku wykrycia krwi utajonej.</w:t>
      </w:r>
    </w:p>
    <w:sectPr w:rsidR="00932B2B" w:rsidRPr="0093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D6"/>
    <w:multiLevelType w:val="multilevel"/>
    <w:tmpl w:val="343C5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67757"/>
    <w:multiLevelType w:val="multilevel"/>
    <w:tmpl w:val="459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40DB1"/>
    <w:multiLevelType w:val="multilevel"/>
    <w:tmpl w:val="D4F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7B04"/>
    <w:multiLevelType w:val="multilevel"/>
    <w:tmpl w:val="45A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05719"/>
    <w:multiLevelType w:val="multilevel"/>
    <w:tmpl w:val="533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B383D"/>
    <w:multiLevelType w:val="multilevel"/>
    <w:tmpl w:val="5C10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719A6"/>
    <w:multiLevelType w:val="multilevel"/>
    <w:tmpl w:val="3E3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D21FB"/>
    <w:multiLevelType w:val="multilevel"/>
    <w:tmpl w:val="9664E7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E1E33"/>
    <w:multiLevelType w:val="multilevel"/>
    <w:tmpl w:val="66F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F5F69"/>
    <w:multiLevelType w:val="multilevel"/>
    <w:tmpl w:val="2130AB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E2E6A"/>
    <w:multiLevelType w:val="multilevel"/>
    <w:tmpl w:val="87D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858C1"/>
    <w:multiLevelType w:val="multilevel"/>
    <w:tmpl w:val="63B8FF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B4598"/>
    <w:multiLevelType w:val="multilevel"/>
    <w:tmpl w:val="5270E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015E0"/>
    <w:multiLevelType w:val="multilevel"/>
    <w:tmpl w:val="ABB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C6035"/>
    <w:multiLevelType w:val="multilevel"/>
    <w:tmpl w:val="1D4A17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41B5D"/>
    <w:multiLevelType w:val="multilevel"/>
    <w:tmpl w:val="FF1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046FA"/>
    <w:multiLevelType w:val="multilevel"/>
    <w:tmpl w:val="756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B"/>
    <w:rsid w:val="00497133"/>
    <w:rsid w:val="00932B2B"/>
    <w:rsid w:val="00A44E78"/>
    <w:rsid w:val="00CC35A5"/>
    <w:rsid w:val="00F4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7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ini.pl/kategoria/sprzet-i-akcesoria-medyczne/srodki-ochrony-osobistej/rekawi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emini.pl/kategoria/sprzet-i-akcesoria-medyczne/diagnostyka-i-badania/pojemniki-na-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ini.pl/poradnik/zdrowie/biegunka-bakteryjna-a-wirusowa-jak-je-rozpoznac-i-jak-leczyc/" TargetMode="External"/><Relationship Id="rId11" Type="http://schemas.openxmlformats.org/officeDocument/2006/relationships/hyperlink" Target="https://gemini.pl/poradnik/bada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mini.pl/poradnik/zdrowie/dlaczego-warto-spozywac-blon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ini.pl/kategoria/kosmetyki/do-ciala/kapiel-i-mycie-ciala/myd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2023-10-13T08:56:00Z</dcterms:created>
  <dcterms:modified xsi:type="dcterms:W3CDTF">2023-10-13T09:34:00Z</dcterms:modified>
</cp:coreProperties>
</file>